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7A39" w14:textId="7785BA86" w:rsidR="1B94A4E2" w:rsidRDefault="068E7151" w:rsidP="54003728">
      <w:pPr>
        <w:tabs>
          <w:tab w:val="left" w:pos="8010"/>
        </w:tabs>
        <w:spacing w:after="120" w:line="240" w:lineRule="auto"/>
      </w:pPr>
      <w:r>
        <w:rPr>
          <w:noProof/>
        </w:rPr>
        <w:drawing>
          <wp:inline distT="0" distB="0" distL="0" distR="0" wp14:anchorId="23E627ED" wp14:editId="4BD0F6D4">
            <wp:extent cx="1134715" cy="1134715"/>
            <wp:effectExtent l="0" t="0" r="0" b="0"/>
            <wp:docPr id="1718910824" name="drawing" descr="University of Oxfo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10824" name=""/>
                    <pic:cNvPicPr/>
                  </pic:nvPicPr>
                  <pic:blipFill>
                    <a:blip r:embed="rId8">
                      <a:extLst>
                        <a:ext uri="{28A0092B-C50C-407E-A947-70E740481C1C}">
                          <a14:useLocalDpi xmlns:a14="http://schemas.microsoft.com/office/drawing/2010/main"/>
                        </a:ext>
                      </a:extLst>
                    </a:blip>
                    <a:stretch>
                      <a:fillRect/>
                    </a:stretch>
                  </pic:blipFill>
                  <pic:spPr>
                    <a:xfrm>
                      <a:off x="0" y="0"/>
                      <a:ext cx="1134715" cy="1134715"/>
                    </a:xfrm>
                    <a:prstGeom prst="rect">
                      <a:avLst/>
                    </a:prstGeom>
                  </pic:spPr>
                </pic:pic>
              </a:graphicData>
            </a:graphic>
          </wp:inline>
        </w:drawing>
      </w:r>
      <w:r w:rsidR="5C3DC620">
        <w:t xml:space="preserve">   </w:t>
      </w:r>
      <w:r w:rsidR="0C1AB5F9">
        <w:rPr>
          <w:noProof/>
        </w:rPr>
        <w:drawing>
          <wp:inline distT="0" distB="0" distL="0" distR="0" wp14:anchorId="435A7D44" wp14:editId="561C0F72">
            <wp:extent cx="1073555" cy="1104900"/>
            <wp:effectExtent l="0" t="0" r="0" b="0"/>
            <wp:docPr id="298240571" name="drawing"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40571" name=""/>
                    <pic:cNvPicPr/>
                  </pic:nvPicPr>
                  <pic:blipFill>
                    <a:blip r:embed="rId9">
                      <a:extLst>
                        <a:ext uri="{28A0092B-C50C-407E-A947-70E740481C1C}">
                          <a14:useLocalDpi xmlns:a14="http://schemas.microsoft.com/office/drawing/2010/main"/>
                        </a:ext>
                      </a:extLst>
                    </a:blip>
                    <a:stretch>
                      <a:fillRect/>
                    </a:stretch>
                  </pic:blipFill>
                  <pic:spPr>
                    <a:xfrm>
                      <a:off x="0" y="0"/>
                      <a:ext cx="1073555" cy="1104900"/>
                    </a:xfrm>
                    <a:prstGeom prst="rect">
                      <a:avLst/>
                    </a:prstGeom>
                  </pic:spPr>
                </pic:pic>
              </a:graphicData>
            </a:graphic>
          </wp:inline>
        </w:drawing>
      </w:r>
      <w:r w:rsidR="1B94A4E2">
        <w:br/>
      </w:r>
    </w:p>
    <w:p w14:paraId="42450EB5" w14:textId="067679DC"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August 2025</w:t>
      </w:r>
    </w:p>
    <w:p w14:paraId="10A6A8D4" w14:textId="700DF5F8" w:rsidR="00296FE1" w:rsidRDefault="00296FE1" w:rsidP="1C556F3B">
      <w:pPr>
        <w:spacing w:after="120" w:line="240" w:lineRule="auto"/>
        <w:rPr>
          <w:rFonts w:ascii="Calibri" w:eastAsia="Calibri" w:hAnsi="Calibri" w:cs="Calibri"/>
          <w:color w:val="000000" w:themeColor="text1"/>
        </w:rPr>
      </w:pPr>
    </w:p>
    <w:p w14:paraId="40D7EC7D" w14:textId="4A254A25"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To all new students </w:t>
      </w:r>
    </w:p>
    <w:p w14:paraId="43C112DE" w14:textId="54F474DB" w:rsidR="00296FE1" w:rsidRDefault="00296FE1" w:rsidP="1C556F3B">
      <w:pPr>
        <w:spacing w:after="120" w:line="240" w:lineRule="auto"/>
        <w:rPr>
          <w:rFonts w:ascii="Arial" w:eastAsia="Arial" w:hAnsi="Arial" w:cs="Arial"/>
          <w:color w:val="000000" w:themeColor="text1"/>
          <w:sz w:val="32"/>
          <w:szCs w:val="32"/>
        </w:rPr>
      </w:pPr>
    </w:p>
    <w:p w14:paraId="19E5A727" w14:textId="61564DE5" w:rsidR="00296FE1" w:rsidRDefault="0E5CA384" w:rsidP="1C556F3B">
      <w:pPr>
        <w:spacing w:after="120" w:line="240" w:lineRule="auto"/>
        <w:rPr>
          <w:rFonts w:ascii="Arial" w:eastAsia="Arial" w:hAnsi="Arial" w:cs="Arial"/>
          <w:color w:val="000000" w:themeColor="text1"/>
          <w:sz w:val="32"/>
          <w:szCs w:val="32"/>
        </w:rPr>
      </w:pPr>
      <w:r w:rsidRPr="1C556F3B">
        <w:rPr>
          <w:rFonts w:ascii="Arial" w:eastAsia="Arial" w:hAnsi="Arial" w:cs="Arial"/>
          <w:b/>
          <w:bCs/>
          <w:color w:val="000000" w:themeColor="text1"/>
          <w:sz w:val="32"/>
          <w:szCs w:val="32"/>
        </w:rPr>
        <w:t xml:space="preserve">Very Important Health Information </w:t>
      </w:r>
    </w:p>
    <w:p w14:paraId="028BC4C2" w14:textId="02743DDA" w:rsidR="00296FE1" w:rsidRDefault="0E5CA384" w:rsidP="1C556F3B">
      <w:pPr>
        <w:pStyle w:val="Heading2"/>
        <w:spacing w:before="240" w:after="120"/>
        <w:rPr>
          <w:rFonts w:ascii="Calibri Light" w:eastAsia="Calibri Light" w:hAnsi="Calibri Light" w:cs="Calibri Light"/>
          <w:color w:val="2F5496"/>
          <w:sz w:val="28"/>
          <w:szCs w:val="28"/>
        </w:rPr>
      </w:pPr>
      <w:r w:rsidRPr="1C556F3B">
        <w:rPr>
          <w:rFonts w:ascii="Calibri Light" w:eastAsia="Calibri Light" w:hAnsi="Calibri Light" w:cs="Calibri Light"/>
          <w:b/>
          <w:bCs/>
          <w:color w:val="2F5496"/>
          <w:sz w:val="28"/>
          <w:szCs w:val="28"/>
        </w:rPr>
        <w:t xml:space="preserve">Immunisations </w:t>
      </w:r>
    </w:p>
    <w:p w14:paraId="20BC28B0" w14:textId="417FEA5C" w:rsidR="00296FE1" w:rsidRDefault="0E5CA384" w:rsidP="1C556F3B">
      <w:pPr>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Based on the advice of UK Health Security Agency, the University of Oxford’s Student Welfare and Support Services </w:t>
      </w:r>
      <w:r w:rsidRPr="1C556F3B">
        <w:rPr>
          <w:rFonts w:ascii="Calibri" w:eastAsia="Calibri" w:hAnsi="Calibri" w:cs="Calibri"/>
          <w:b/>
          <w:bCs/>
          <w:color w:val="000000" w:themeColor="text1"/>
        </w:rPr>
        <w:t>strongly recommends</w:t>
      </w:r>
      <w:r w:rsidRPr="1C556F3B">
        <w:rPr>
          <w:rFonts w:ascii="Calibri" w:eastAsia="Calibri" w:hAnsi="Calibri" w:cs="Calibri"/>
          <w:color w:val="000000" w:themeColor="text1"/>
        </w:rPr>
        <w:t xml:space="preserve"> that you receive the following vaccines</w:t>
      </w:r>
      <w:r w:rsidRPr="1C556F3B">
        <w:rPr>
          <w:rFonts w:ascii="Calibri" w:eastAsia="Calibri" w:hAnsi="Calibri" w:cs="Calibri"/>
          <w:b/>
          <w:bCs/>
          <w:color w:val="000000" w:themeColor="text1"/>
        </w:rPr>
        <w:t xml:space="preserve"> before</w:t>
      </w:r>
      <w:r w:rsidRPr="1C556F3B">
        <w:rPr>
          <w:rFonts w:ascii="Calibri" w:eastAsia="Calibri" w:hAnsi="Calibri" w:cs="Calibri"/>
          <w:color w:val="000000" w:themeColor="text1"/>
        </w:rPr>
        <w:t xml:space="preserve"> you arrive in Oxford, if you have not already received them:</w:t>
      </w:r>
    </w:p>
    <w:p w14:paraId="7490027A" w14:textId="0C66AC05" w:rsidR="00296FE1" w:rsidRPr="004A51E6" w:rsidRDefault="0E5CA384" w:rsidP="004A51E6">
      <w:pPr>
        <w:pStyle w:val="ListParagraph"/>
        <w:numPr>
          <w:ilvl w:val="0"/>
          <w:numId w:val="1"/>
        </w:numPr>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r w:rsidRPr="004A51E6">
        <w:rPr>
          <w:rFonts w:ascii="Calibri" w:eastAsia="Calibri" w:hAnsi="Calibri" w:cs="Calibri"/>
          <w:color w:val="000000" w:themeColor="text1"/>
        </w:rPr>
        <w:t>Meningococcal ACWY (</w:t>
      </w:r>
      <w:proofErr w:type="spellStart"/>
      <w:r w:rsidRPr="004A51E6">
        <w:rPr>
          <w:rFonts w:ascii="Calibri" w:eastAsia="Calibri" w:hAnsi="Calibri" w:cs="Calibri"/>
          <w:color w:val="000000" w:themeColor="text1"/>
        </w:rPr>
        <w:t>MenACWY</w:t>
      </w:r>
      <w:proofErr w:type="spellEnd"/>
      <w:r w:rsidRPr="004A51E6">
        <w:rPr>
          <w:rFonts w:ascii="Calibri" w:eastAsia="Calibri" w:hAnsi="Calibri" w:cs="Calibri"/>
          <w:color w:val="000000" w:themeColor="text1"/>
        </w:rPr>
        <w:t>) if you are under 25 years of age</w:t>
      </w:r>
      <w:r w:rsidR="000827AE" w:rsidRPr="004A51E6">
        <w:rPr>
          <w:rFonts w:ascii="Calibri" w:eastAsia="Calibri" w:hAnsi="Calibri" w:cs="Calibri"/>
          <w:color w:val="000000" w:themeColor="text1"/>
        </w:rPr>
        <w:t xml:space="preserve"> and starting University for the first time in the UK. </w:t>
      </w:r>
    </w:p>
    <w:p w14:paraId="5EDB8B90" w14:textId="77777777" w:rsidR="000827AE" w:rsidRPr="004A51E6" w:rsidRDefault="4BADC007" w:rsidP="004A51E6">
      <w:pPr>
        <w:pStyle w:val="ListParagraph"/>
        <w:numPr>
          <w:ilvl w:val="0"/>
          <w:numId w:val="1"/>
        </w:numPr>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t xml:space="preserve">Measles Mumps and Rubella - MMR1 and MMR 2, </w:t>
      </w:r>
      <w:proofErr w:type="gramStart"/>
      <w:r w:rsidRPr="54003728">
        <w:rPr>
          <w:rFonts w:ascii="Calibri" w:eastAsia="Calibri" w:hAnsi="Calibri" w:cs="Calibri"/>
          <w:color w:val="000000" w:themeColor="text1"/>
        </w:rPr>
        <w:t>i.e.</w:t>
      </w:r>
      <w:proofErr w:type="gramEnd"/>
      <w:r w:rsidRPr="54003728">
        <w:rPr>
          <w:rFonts w:ascii="Calibri" w:eastAsia="Calibri" w:hAnsi="Calibri" w:cs="Calibri"/>
          <w:color w:val="000000" w:themeColor="text1"/>
        </w:rPr>
        <w:t xml:space="preserve"> the normal two doses</w:t>
      </w:r>
      <w:r w:rsidR="51E9B085" w:rsidRPr="54003728">
        <w:rPr>
          <w:rFonts w:ascii="Calibri" w:eastAsia="Calibri" w:hAnsi="Calibri" w:cs="Calibri"/>
          <w:color w:val="000000" w:themeColor="text1"/>
        </w:rPr>
        <w:t xml:space="preserve"> </w:t>
      </w:r>
    </w:p>
    <w:p w14:paraId="49A80A0F" w14:textId="08208C5C" w:rsidR="4B0706AE" w:rsidRDefault="4B0706AE" w:rsidP="54003728">
      <w:pPr>
        <w:pStyle w:val="ListParagraph"/>
        <w:numPr>
          <w:ilvl w:val="0"/>
          <w:numId w:val="1"/>
        </w:numPr>
        <w:tabs>
          <w:tab w:val="left" w:pos="567"/>
          <w:tab w:val="left" w:pos="1134"/>
          <w:tab w:val="left" w:pos="1701"/>
          <w:tab w:val="left" w:pos="5670"/>
          <w:tab w:val="right" w:pos="9356"/>
        </w:tabs>
        <w:spacing w:after="120" w:line="240" w:lineRule="auto"/>
        <w:rPr>
          <w:rFonts w:ascii="Calibri" w:eastAsia="Calibri" w:hAnsi="Calibri" w:cs="Calibri"/>
        </w:rPr>
      </w:pPr>
      <w:r w:rsidRPr="54003728">
        <w:rPr>
          <w:rFonts w:ascii="Calibri" w:eastAsia="Calibri" w:hAnsi="Calibri" w:cs="Calibri"/>
        </w:rPr>
        <w:t>HPV vaccine which protects against genital warts and cancers caused by the human papilloma virus, such as cervical cancer</w:t>
      </w:r>
    </w:p>
    <w:p w14:paraId="4A019B87" w14:textId="6BF10C6B" w:rsidR="54003728" w:rsidRDefault="54003728" w:rsidP="54003728">
      <w:pPr>
        <w:pStyle w:val="ListParagraph"/>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p>
    <w:p w14:paraId="5FF145B9" w14:textId="08776EB6" w:rsidR="4B0706AE" w:rsidRDefault="4B0706AE" w:rsidP="54003728">
      <w:pPr>
        <w:tabs>
          <w:tab w:val="left" w:pos="567"/>
          <w:tab w:val="left" w:pos="1134"/>
          <w:tab w:val="left" w:pos="1701"/>
          <w:tab w:val="left" w:pos="5670"/>
          <w:tab w:val="right" w:pos="9356"/>
        </w:tabs>
        <w:spacing w:after="120" w:line="240" w:lineRule="auto"/>
        <w:rPr>
          <w:rFonts w:ascii="Calibri" w:eastAsia="Calibri" w:hAnsi="Calibri" w:cs="Calibri"/>
        </w:rPr>
      </w:pPr>
      <w:r w:rsidRPr="54003728">
        <w:rPr>
          <w:rFonts w:ascii="Calibri" w:eastAsia="Calibri" w:hAnsi="Calibri" w:cs="Calibri"/>
          <w:color w:val="000000" w:themeColor="text1"/>
        </w:rPr>
        <w:t xml:space="preserve">You can contact your General Practice </w:t>
      </w:r>
      <w:r w:rsidRPr="54003728">
        <w:rPr>
          <w:rFonts w:ascii="Calibri" w:eastAsia="Calibri" w:hAnsi="Calibri" w:cs="Calibri"/>
        </w:rPr>
        <w:t xml:space="preserve">(GP) </w:t>
      </w:r>
      <w:r w:rsidRPr="54003728">
        <w:rPr>
          <w:rFonts w:ascii="Calibri" w:eastAsia="Calibri" w:hAnsi="Calibri" w:cs="Calibri"/>
          <w:color w:val="000000" w:themeColor="text1"/>
        </w:rPr>
        <w:t xml:space="preserve">to arrange these vaccinations or to check if you have already been vaccinated if you are unsure. </w:t>
      </w:r>
      <w:r w:rsidRPr="54003728">
        <w:rPr>
          <w:rFonts w:ascii="Calibri" w:eastAsia="Calibri" w:hAnsi="Calibri" w:cs="Calibri"/>
        </w:rPr>
        <w:t>Immunisations</w:t>
      </w:r>
      <w:r w:rsidRPr="54003728">
        <w:rPr>
          <w:rFonts w:ascii="Calibri" w:eastAsia="Calibri" w:hAnsi="Calibri" w:cs="Calibri"/>
          <w:color w:val="000000" w:themeColor="text1"/>
        </w:rPr>
        <w:t xml:space="preserve"> should be readily available outside the UK for international students.</w:t>
      </w:r>
      <w:r w:rsidRPr="54003728">
        <w:rPr>
          <w:rFonts w:ascii="Calibri" w:eastAsia="Calibri" w:hAnsi="Calibri" w:cs="Calibri"/>
        </w:rPr>
        <w:t xml:space="preserve"> It is not too late to catch up on other vaccines you may have missed, you can speak to your GP if you are unsure if you are fully vaccinated.  </w:t>
      </w:r>
    </w:p>
    <w:p w14:paraId="4F652D17" w14:textId="10A9F96D" w:rsidR="000827AE" w:rsidRDefault="51E9B085" w:rsidP="000827AE">
      <w:pPr>
        <w:pStyle w:val="Heading2"/>
        <w:spacing w:before="240" w:after="120" w:line="259" w:lineRule="auto"/>
        <w:rPr>
          <w:rFonts w:ascii="Calibri Light" w:eastAsia="Calibri Light" w:hAnsi="Calibri Light" w:cs="Calibri Light"/>
          <w:color w:val="2F5496"/>
          <w:sz w:val="28"/>
          <w:szCs w:val="28"/>
        </w:rPr>
      </w:pPr>
      <w:r w:rsidRPr="54003728">
        <w:rPr>
          <w:rFonts w:ascii="Calibri Light" w:eastAsia="Calibri Light" w:hAnsi="Calibri Light" w:cs="Calibri Light"/>
          <w:b/>
          <w:bCs/>
          <w:color w:val="2F5496"/>
          <w:sz w:val="28"/>
          <w:szCs w:val="28"/>
        </w:rPr>
        <w:t xml:space="preserve">Meningococcal disease  </w:t>
      </w:r>
    </w:p>
    <w:p w14:paraId="1A2741AB" w14:textId="209527A9" w:rsidR="004A51E6" w:rsidRDefault="004A51E6" w:rsidP="1C556F3B">
      <w:pPr>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Although meningococcal disease is rare, as a new student you may be at higher risk of contracting meningococcal disease and spreading it to others, as you are likely to be mixing closely with lots of new people, some of whom may unknowingly be carrying the meningococcal bacteria. Meningococcal disease can cause meningitis (inflammation of the membrane around the brain) and septicaemia (blood poisoning) which can be life threatening if not treated quickly. Meningitis and septicaemia can develop suddenly. Symptoms</w:t>
      </w:r>
      <w:r>
        <w:rPr>
          <w:rFonts w:ascii="Calibri" w:eastAsia="Calibri" w:hAnsi="Calibri" w:cs="Calibri"/>
          <w:color w:val="000000" w:themeColor="text1"/>
        </w:rPr>
        <w:t xml:space="preserve"> can</w:t>
      </w:r>
      <w:r w:rsidRPr="1C556F3B">
        <w:rPr>
          <w:rFonts w:ascii="Calibri" w:eastAsia="Calibri" w:hAnsi="Calibri" w:cs="Calibri"/>
          <w:color w:val="000000" w:themeColor="text1"/>
        </w:rPr>
        <w:t xml:space="preserve"> include a blotchy rash that doesn’t fade when a glass is rolled over it, fever, headache, aching muscles and joints and a stiff neck. The </w:t>
      </w:r>
      <w:proofErr w:type="spellStart"/>
      <w:r w:rsidRPr="1C556F3B">
        <w:rPr>
          <w:rFonts w:ascii="Calibri" w:eastAsia="Calibri" w:hAnsi="Calibri" w:cs="Calibri"/>
          <w:color w:val="000000" w:themeColor="text1"/>
        </w:rPr>
        <w:t>MenW</w:t>
      </w:r>
      <w:proofErr w:type="spellEnd"/>
      <w:r w:rsidRPr="1C556F3B">
        <w:rPr>
          <w:rFonts w:ascii="Calibri" w:eastAsia="Calibri" w:hAnsi="Calibri" w:cs="Calibri"/>
          <w:color w:val="000000" w:themeColor="text1"/>
        </w:rPr>
        <w:t xml:space="preserve"> strain can also cause vomiting and diarrhoea in teenagers and young adults. Urgent antibiotic treatment and hospitalisation are critical</w:t>
      </w:r>
      <w:r>
        <w:rPr>
          <w:rFonts w:ascii="Calibri" w:eastAsia="Calibri" w:hAnsi="Calibri" w:cs="Calibri"/>
          <w:color w:val="000000" w:themeColor="text1"/>
        </w:rPr>
        <w:t>.</w:t>
      </w:r>
    </w:p>
    <w:p w14:paraId="617BA229" w14:textId="53F69B62" w:rsidR="00296FE1" w:rsidRDefault="000827AE" w:rsidP="004A51E6">
      <w:pPr>
        <w:tabs>
          <w:tab w:val="left" w:pos="567"/>
          <w:tab w:val="left" w:pos="1134"/>
          <w:tab w:val="left" w:pos="1701"/>
          <w:tab w:val="left" w:pos="5670"/>
          <w:tab w:val="right" w:pos="9356"/>
        </w:tabs>
        <w:spacing w:after="120" w:line="240" w:lineRule="auto"/>
        <w:rPr>
          <w:rFonts w:ascii="Calibri" w:eastAsia="Calibri" w:hAnsi="Calibri" w:cs="Calibri"/>
          <w:color w:val="000000" w:themeColor="text1"/>
        </w:rPr>
      </w:pPr>
      <w:r w:rsidRPr="000827AE">
        <w:rPr>
          <w:rFonts w:ascii="Calibri" w:eastAsia="Calibri" w:hAnsi="Calibri" w:cs="Calibri"/>
          <w:color w:val="000000" w:themeColor="text1"/>
        </w:rPr>
        <w:t>In the UK, Meningitis ACWY vaccine is offered at school to those aged 14 years old</w:t>
      </w:r>
      <w:r>
        <w:rPr>
          <w:rFonts w:ascii="Calibri" w:eastAsia="Calibri" w:hAnsi="Calibri" w:cs="Calibri"/>
          <w:color w:val="000000" w:themeColor="text1"/>
        </w:rPr>
        <w:t>. S</w:t>
      </w:r>
      <w:r w:rsidRPr="000827AE">
        <w:rPr>
          <w:rFonts w:ascii="Calibri" w:eastAsia="Calibri" w:hAnsi="Calibri" w:cs="Calibri"/>
          <w:color w:val="000000" w:themeColor="text1"/>
        </w:rPr>
        <w:t>ometimes the records from school immunisation</w:t>
      </w:r>
      <w:r>
        <w:rPr>
          <w:rFonts w:ascii="Calibri" w:eastAsia="Calibri" w:hAnsi="Calibri" w:cs="Calibri"/>
          <w:color w:val="000000" w:themeColor="text1"/>
        </w:rPr>
        <w:t>s</w:t>
      </w:r>
      <w:r w:rsidRPr="000827AE">
        <w:rPr>
          <w:rFonts w:ascii="Calibri" w:eastAsia="Calibri" w:hAnsi="Calibri" w:cs="Calibri"/>
          <w:color w:val="000000" w:themeColor="text1"/>
        </w:rPr>
        <w:t xml:space="preserve"> do not reach the GP records</w:t>
      </w:r>
      <w:r>
        <w:rPr>
          <w:rFonts w:ascii="Calibri" w:eastAsia="Calibri" w:hAnsi="Calibri" w:cs="Calibri"/>
          <w:color w:val="000000" w:themeColor="text1"/>
        </w:rPr>
        <w:t xml:space="preserve">: if your General Practice does not have details of your meningitis vaccine, you may be able to find </w:t>
      </w:r>
      <w:r>
        <w:rPr>
          <w:rFonts w:ascii="Calibri" w:eastAsia="Calibri" w:hAnsi="Calibri" w:cs="Calibri"/>
          <w:color w:val="000000" w:themeColor="text1"/>
        </w:rPr>
        <w:lastRenderedPageBreak/>
        <w:t>out from your school nurse</w:t>
      </w:r>
      <w:r w:rsidRPr="000827AE">
        <w:rPr>
          <w:rFonts w:ascii="Calibri" w:eastAsia="Calibri" w:hAnsi="Calibri" w:cs="Calibri"/>
          <w:color w:val="000000" w:themeColor="text1"/>
        </w:rPr>
        <w:t xml:space="preserve">. </w:t>
      </w:r>
      <w:r>
        <w:rPr>
          <w:rFonts w:ascii="Calibri" w:eastAsia="Calibri" w:hAnsi="Calibri" w:cs="Calibri"/>
          <w:color w:val="000000" w:themeColor="text1"/>
        </w:rPr>
        <w:t>If you have not been vaccinated, y</w:t>
      </w:r>
      <w:r w:rsidR="0E5CA384" w:rsidRPr="1C556F3B">
        <w:rPr>
          <w:rFonts w:ascii="Calibri" w:eastAsia="Calibri" w:hAnsi="Calibri" w:cs="Calibri"/>
          <w:color w:val="000000" w:themeColor="text1"/>
        </w:rPr>
        <w:t xml:space="preserve">ou can contact your General Practice to </w:t>
      </w:r>
      <w:r>
        <w:rPr>
          <w:rFonts w:ascii="Calibri" w:eastAsia="Calibri" w:hAnsi="Calibri" w:cs="Calibri"/>
          <w:color w:val="000000" w:themeColor="text1"/>
        </w:rPr>
        <w:t>request</w:t>
      </w:r>
      <w:r w:rsidRPr="1C556F3B">
        <w:rPr>
          <w:rFonts w:ascii="Calibri" w:eastAsia="Calibri" w:hAnsi="Calibri" w:cs="Calibri"/>
          <w:color w:val="000000" w:themeColor="text1"/>
        </w:rPr>
        <w:t xml:space="preserve"> </w:t>
      </w:r>
      <w:r w:rsidR="0E5CA384" w:rsidRPr="1C556F3B">
        <w:rPr>
          <w:rFonts w:ascii="Calibri" w:eastAsia="Calibri" w:hAnsi="Calibri" w:cs="Calibri"/>
          <w:color w:val="000000" w:themeColor="text1"/>
        </w:rPr>
        <w:t>vaccination</w:t>
      </w:r>
      <w:r>
        <w:rPr>
          <w:rFonts w:ascii="Calibri" w:eastAsia="Calibri" w:hAnsi="Calibri" w:cs="Calibri"/>
          <w:color w:val="000000" w:themeColor="text1"/>
        </w:rPr>
        <w:t xml:space="preserve">. If you cannot be </w:t>
      </w:r>
      <w:proofErr w:type="gramStart"/>
      <w:r>
        <w:rPr>
          <w:rFonts w:ascii="Calibri" w:eastAsia="Calibri" w:hAnsi="Calibri" w:cs="Calibri"/>
          <w:color w:val="000000" w:themeColor="text1"/>
        </w:rPr>
        <w:t>sure</w:t>
      </w:r>
      <w:proofErr w:type="gramEnd"/>
      <w:r>
        <w:rPr>
          <w:rFonts w:ascii="Calibri" w:eastAsia="Calibri" w:hAnsi="Calibri" w:cs="Calibri"/>
          <w:color w:val="000000" w:themeColor="text1"/>
        </w:rPr>
        <w:t xml:space="preserve"> you have been vaccinated, it is not dangerous to repeat a dose. There are different strains of meningococcus and it is important that you are vaccinated against groups A, C, W and Y which are the main strains in young adults. </w:t>
      </w:r>
    </w:p>
    <w:p w14:paraId="4AACE67E" w14:textId="7C3832E1"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Please note that meningitis is not the same condition as encephalitis, against which students from some countries might have been immunised. If you have been immunised against any form of encephalitis, you will still need the </w:t>
      </w:r>
      <w:proofErr w:type="spellStart"/>
      <w:r w:rsidRPr="1C556F3B">
        <w:rPr>
          <w:rFonts w:ascii="Calibri" w:eastAsia="Calibri" w:hAnsi="Calibri" w:cs="Calibri"/>
          <w:color w:val="000000" w:themeColor="text1"/>
        </w:rPr>
        <w:t>MenACWY</w:t>
      </w:r>
      <w:proofErr w:type="spellEnd"/>
      <w:r w:rsidRPr="1C556F3B">
        <w:rPr>
          <w:rFonts w:ascii="Calibri" w:eastAsia="Calibri" w:hAnsi="Calibri" w:cs="Calibri"/>
          <w:color w:val="000000" w:themeColor="text1"/>
        </w:rPr>
        <w:t xml:space="preserve"> vaccine. </w:t>
      </w:r>
    </w:p>
    <w:p w14:paraId="6C740745" w14:textId="4A6FDB4D" w:rsidR="00296FE1" w:rsidRDefault="0E5CA384" w:rsidP="1C556F3B">
      <w:pPr>
        <w:spacing w:after="120" w:line="240" w:lineRule="auto"/>
        <w:rPr>
          <w:rFonts w:ascii="Aptos" w:eastAsia="Aptos" w:hAnsi="Aptos" w:cs="Aptos"/>
          <w:color w:val="000000" w:themeColor="text1"/>
        </w:rPr>
      </w:pPr>
      <w:r w:rsidRPr="1C556F3B">
        <w:rPr>
          <w:rFonts w:ascii="Aptos" w:eastAsia="Aptos" w:hAnsi="Aptos" w:cs="Aptos"/>
          <w:color w:val="000000" w:themeColor="text1"/>
        </w:rPr>
        <w:t xml:space="preserve">Further information on </w:t>
      </w:r>
      <w:hyperlink r:id="rId10">
        <w:r w:rsidRPr="1C556F3B">
          <w:rPr>
            <w:rStyle w:val="Hyperlink"/>
            <w:rFonts w:ascii="Aptos" w:eastAsia="Aptos" w:hAnsi="Aptos" w:cs="Aptos"/>
          </w:rPr>
          <w:t>meningitis</w:t>
        </w:r>
      </w:hyperlink>
      <w:r w:rsidRPr="1C556F3B">
        <w:rPr>
          <w:rFonts w:ascii="Aptos" w:eastAsia="Aptos" w:hAnsi="Aptos" w:cs="Aptos"/>
          <w:color w:val="000000" w:themeColor="text1"/>
        </w:rPr>
        <w:t xml:space="preserve"> and the </w:t>
      </w:r>
      <w:hyperlink r:id="rId11">
        <w:proofErr w:type="spellStart"/>
        <w:r w:rsidRPr="1C556F3B">
          <w:rPr>
            <w:rStyle w:val="Hyperlink"/>
            <w:rFonts w:ascii="Aptos" w:eastAsia="Aptos" w:hAnsi="Aptos" w:cs="Aptos"/>
          </w:rPr>
          <w:t>MenACWY</w:t>
        </w:r>
        <w:proofErr w:type="spellEnd"/>
        <w:r w:rsidRPr="1C556F3B">
          <w:rPr>
            <w:rStyle w:val="Hyperlink"/>
            <w:rFonts w:ascii="Aptos" w:eastAsia="Aptos" w:hAnsi="Aptos" w:cs="Aptos"/>
          </w:rPr>
          <w:t xml:space="preserve"> vaccine</w:t>
        </w:r>
      </w:hyperlink>
      <w:r w:rsidRPr="1C556F3B">
        <w:rPr>
          <w:rFonts w:ascii="Aptos" w:eastAsia="Aptos" w:hAnsi="Aptos" w:cs="Aptos"/>
          <w:color w:val="000000" w:themeColor="text1"/>
        </w:rPr>
        <w:t xml:space="preserve"> is available on the </w:t>
      </w:r>
      <w:hyperlink r:id="rId12">
        <w:r w:rsidRPr="1C556F3B">
          <w:rPr>
            <w:rStyle w:val="Hyperlink"/>
            <w:rFonts w:ascii="Aptos" w:eastAsia="Aptos" w:hAnsi="Aptos" w:cs="Aptos"/>
          </w:rPr>
          <w:t>NHS website</w:t>
        </w:r>
      </w:hyperlink>
      <w:r w:rsidRPr="1C556F3B">
        <w:rPr>
          <w:rFonts w:ascii="Aptos" w:eastAsia="Aptos" w:hAnsi="Aptos" w:cs="Aptos"/>
          <w:color w:val="000000" w:themeColor="text1"/>
        </w:rPr>
        <w:t xml:space="preserve">. </w:t>
      </w:r>
    </w:p>
    <w:p w14:paraId="2083DA42" w14:textId="63D27D79" w:rsidR="00296FE1" w:rsidRDefault="51E9B085" w:rsidP="1C556F3B">
      <w:pPr>
        <w:pStyle w:val="Heading2"/>
        <w:spacing w:before="240" w:after="120" w:line="259" w:lineRule="auto"/>
        <w:rPr>
          <w:rFonts w:ascii="Calibri Light" w:eastAsia="Calibri Light" w:hAnsi="Calibri Light" w:cs="Calibri Light"/>
          <w:color w:val="2F5496"/>
          <w:sz w:val="28"/>
          <w:szCs w:val="28"/>
        </w:rPr>
      </w:pPr>
      <w:r w:rsidRPr="54003728">
        <w:rPr>
          <w:rFonts w:ascii="Calibri Light" w:eastAsia="Calibri Light" w:hAnsi="Calibri Light" w:cs="Calibri Light"/>
          <w:b/>
          <w:bCs/>
          <w:color w:val="2F5496"/>
          <w:sz w:val="28"/>
          <w:szCs w:val="28"/>
        </w:rPr>
        <w:t>M</w:t>
      </w:r>
      <w:r w:rsidR="4BADC007" w:rsidRPr="54003728">
        <w:rPr>
          <w:rFonts w:ascii="Calibri Light" w:eastAsia="Calibri Light" w:hAnsi="Calibri Light" w:cs="Calibri Light"/>
          <w:b/>
          <w:bCs/>
          <w:color w:val="2F5496"/>
          <w:sz w:val="28"/>
          <w:szCs w:val="28"/>
        </w:rPr>
        <w:t xml:space="preserve">easles, mumps and rubella (MMR) </w:t>
      </w:r>
    </w:p>
    <w:p w14:paraId="1793C417" w14:textId="692A5587" w:rsidR="6530A771" w:rsidRDefault="6530A771" w:rsidP="54003728">
      <w:pPr>
        <w:spacing w:after="120" w:line="240" w:lineRule="auto"/>
        <w:rPr>
          <w:rFonts w:ascii="Calibri" w:eastAsia="Calibri" w:hAnsi="Calibri" w:cs="Calibri"/>
        </w:rPr>
      </w:pPr>
      <w:r w:rsidRPr="54003728">
        <w:rPr>
          <w:rFonts w:ascii="Calibri" w:eastAsia="Calibri" w:hAnsi="Calibri" w:cs="Calibri"/>
          <w:color w:val="000000" w:themeColor="text1"/>
        </w:rPr>
        <w:t xml:space="preserve">Measles is circulating in England; there were 2,911 confirmed cases in 2024 (the highest annual number since 2012) and there have been over 500 cases so far in 2025. Measles is an infection that spreads very easily and can cause serious problems in some people.  In addition, several outbreaks of mumps have occurred at both universities in Oxford in previous years. </w:t>
      </w:r>
      <w:r w:rsidRPr="54003728">
        <w:rPr>
          <w:rFonts w:ascii="Calibri" w:eastAsia="Calibri" w:hAnsi="Calibri" w:cs="Calibri"/>
        </w:rPr>
        <w:t xml:space="preserve"> </w:t>
      </w:r>
    </w:p>
    <w:p w14:paraId="358DB663" w14:textId="101F6548" w:rsidR="00296FE1" w:rsidRDefault="4BADC007" w:rsidP="1C556F3B">
      <w:pPr>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t xml:space="preserve">Two doses of the MMR vaccine </w:t>
      </w:r>
      <w:proofErr w:type="gramStart"/>
      <w:r w:rsidRPr="54003728">
        <w:rPr>
          <w:rFonts w:ascii="Calibri" w:eastAsia="Calibri" w:hAnsi="Calibri" w:cs="Calibri"/>
          <w:color w:val="000000" w:themeColor="text1"/>
        </w:rPr>
        <w:t>gives</w:t>
      </w:r>
      <w:proofErr w:type="gramEnd"/>
      <w:r w:rsidRPr="54003728">
        <w:rPr>
          <w:rFonts w:ascii="Calibri" w:eastAsia="Calibri" w:hAnsi="Calibri" w:cs="Calibri"/>
          <w:color w:val="000000" w:themeColor="text1"/>
        </w:rPr>
        <w:t xml:space="preserve"> you long-term protection from both measles and mumps, as well as rubella.</w:t>
      </w:r>
      <w:r w:rsidR="51E9B085" w:rsidRPr="54003728">
        <w:rPr>
          <w:rFonts w:ascii="Calibri" w:eastAsia="Calibri" w:hAnsi="Calibri" w:cs="Calibri"/>
          <w:color w:val="000000" w:themeColor="text1"/>
        </w:rPr>
        <w:t xml:space="preserve"> </w:t>
      </w:r>
      <w:r w:rsidR="16F2BC4B" w:rsidRPr="54003728">
        <w:rPr>
          <w:rFonts w:ascii="Calibri" w:eastAsia="Calibri" w:hAnsi="Calibri" w:cs="Calibri"/>
          <w:color w:val="000000" w:themeColor="text1"/>
        </w:rPr>
        <w:t xml:space="preserve">The </w:t>
      </w:r>
      <w:r w:rsidR="51E9B085" w:rsidRPr="54003728">
        <w:rPr>
          <w:rFonts w:ascii="Calibri" w:eastAsia="Calibri" w:hAnsi="Calibri" w:cs="Calibri"/>
          <w:color w:val="000000" w:themeColor="text1"/>
        </w:rPr>
        <w:t>MMR vaccine is usually given as two doses in early childhood.</w:t>
      </w:r>
      <w:r w:rsidRPr="54003728">
        <w:rPr>
          <w:rFonts w:ascii="Calibri" w:eastAsia="Calibri" w:hAnsi="Calibri" w:cs="Calibri"/>
          <w:color w:val="000000" w:themeColor="text1"/>
        </w:rPr>
        <w:t xml:space="preserve"> If you are not certain that you have received the two MMR immunisations, we recommend that you check this with your General Practi</w:t>
      </w:r>
      <w:r w:rsidR="51E9B085" w:rsidRPr="54003728">
        <w:rPr>
          <w:rFonts w:ascii="Calibri" w:eastAsia="Calibri" w:hAnsi="Calibri" w:cs="Calibri"/>
          <w:color w:val="000000" w:themeColor="text1"/>
        </w:rPr>
        <w:t>c</w:t>
      </w:r>
      <w:r w:rsidRPr="54003728">
        <w:rPr>
          <w:rFonts w:ascii="Calibri" w:eastAsia="Calibri" w:hAnsi="Calibri" w:cs="Calibri"/>
          <w:color w:val="000000" w:themeColor="text1"/>
        </w:rPr>
        <w:t xml:space="preserve">e or your doctor and if you have not received both vaccinations obtain them before arriving at university. </w:t>
      </w:r>
      <w:r w:rsidR="51E9B085" w:rsidRPr="54003728">
        <w:rPr>
          <w:rFonts w:ascii="Calibri" w:eastAsia="Calibri" w:hAnsi="Calibri" w:cs="Calibri"/>
          <w:color w:val="000000" w:themeColor="text1"/>
        </w:rPr>
        <w:t xml:space="preserve">If you are not sure you have already had MMR vaccine it is not dangerous to have another one. </w:t>
      </w:r>
      <w:r w:rsidRPr="54003728">
        <w:rPr>
          <w:rFonts w:ascii="Calibri" w:eastAsia="Calibri" w:hAnsi="Calibri" w:cs="Calibri"/>
          <w:color w:val="000000" w:themeColor="text1"/>
        </w:rPr>
        <w:t xml:space="preserve">There should be at least a month between each dose. If you do not have time to have both doses before arrival in Oxford, this can be arranged when you register with a doctor in Oxford. </w:t>
      </w:r>
    </w:p>
    <w:p w14:paraId="5691C947" w14:textId="36CC0BED"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Further information on </w:t>
      </w:r>
      <w:hyperlink r:id="rId13">
        <w:r w:rsidRPr="1C556F3B">
          <w:rPr>
            <w:rStyle w:val="Hyperlink"/>
            <w:rFonts w:ascii="Calibri" w:eastAsia="Calibri" w:hAnsi="Calibri" w:cs="Calibri"/>
          </w:rPr>
          <w:t>measles</w:t>
        </w:r>
      </w:hyperlink>
      <w:r w:rsidRPr="1C556F3B">
        <w:rPr>
          <w:rFonts w:ascii="Calibri" w:eastAsia="Calibri" w:hAnsi="Calibri" w:cs="Calibri"/>
          <w:color w:val="000000" w:themeColor="text1"/>
        </w:rPr>
        <w:t xml:space="preserve">, </w:t>
      </w:r>
      <w:hyperlink r:id="rId14">
        <w:r w:rsidRPr="1C556F3B">
          <w:rPr>
            <w:rStyle w:val="Hyperlink"/>
            <w:rFonts w:ascii="Calibri" w:eastAsia="Calibri" w:hAnsi="Calibri" w:cs="Calibri"/>
          </w:rPr>
          <w:t>mumps</w:t>
        </w:r>
      </w:hyperlink>
      <w:r w:rsidRPr="1C556F3B">
        <w:rPr>
          <w:rFonts w:ascii="Calibri" w:eastAsia="Calibri" w:hAnsi="Calibri" w:cs="Calibri"/>
          <w:color w:val="000000" w:themeColor="text1"/>
        </w:rPr>
        <w:t xml:space="preserve"> and </w:t>
      </w:r>
      <w:hyperlink r:id="rId15">
        <w:r w:rsidRPr="1C556F3B">
          <w:rPr>
            <w:rStyle w:val="Hyperlink"/>
            <w:rFonts w:ascii="Calibri" w:eastAsia="Calibri" w:hAnsi="Calibri" w:cs="Calibri"/>
          </w:rPr>
          <w:t>rubella</w:t>
        </w:r>
      </w:hyperlink>
      <w:r w:rsidRPr="1C556F3B">
        <w:rPr>
          <w:rFonts w:ascii="Calibri" w:eastAsia="Calibri" w:hAnsi="Calibri" w:cs="Calibri"/>
          <w:color w:val="000000" w:themeColor="text1"/>
        </w:rPr>
        <w:t xml:space="preserve">, and the </w:t>
      </w:r>
      <w:hyperlink r:id="rId16">
        <w:r w:rsidRPr="1C556F3B">
          <w:rPr>
            <w:rStyle w:val="Hyperlink"/>
            <w:rFonts w:ascii="Calibri" w:eastAsia="Calibri" w:hAnsi="Calibri" w:cs="Calibri"/>
          </w:rPr>
          <w:t>MMR vaccination</w:t>
        </w:r>
      </w:hyperlink>
      <w:r w:rsidRPr="1C556F3B">
        <w:rPr>
          <w:rFonts w:ascii="Calibri" w:eastAsia="Calibri" w:hAnsi="Calibri" w:cs="Calibri"/>
          <w:color w:val="000000" w:themeColor="text1"/>
        </w:rPr>
        <w:t xml:space="preserve"> is available on the </w:t>
      </w:r>
      <w:r w:rsidRPr="1C556F3B">
        <w:rPr>
          <w:rStyle w:val="Hyperlink"/>
          <w:rFonts w:ascii="Calibri" w:eastAsia="Calibri" w:hAnsi="Calibri" w:cs="Calibri"/>
        </w:rPr>
        <w:t>NHS website</w:t>
      </w:r>
      <w:r w:rsidRPr="1C556F3B">
        <w:rPr>
          <w:rFonts w:ascii="Calibri" w:eastAsia="Calibri" w:hAnsi="Calibri" w:cs="Calibri"/>
          <w:color w:val="000000" w:themeColor="text1"/>
        </w:rPr>
        <w:t xml:space="preserve">. </w:t>
      </w:r>
    </w:p>
    <w:p w14:paraId="5845A073" w14:textId="407CD7BC" w:rsidR="00296FE1" w:rsidRDefault="0E5CA384" w:rsidP="1C556F3B">
      <w:pPr>
        <w:spacing w:before="240" w:after="120" w:line="240" w:lineRule="auto"/>
        <w:rPr>
          <w:rFonts w:ascii="Calibri Light" w:eastAsia="Calibri Light" w:hAnsi="Calibri Light" w:cs="Calibri Light"/>
          <w:color w:val="2F5496"/>
          <w:sz w:val="28"/>
          <w:szCs w:val="28"/>
        </w:rPr>
      </w:pPr>
      <w:r w:rsidRPr="1C556F3B">
        <w:rPr>
          <w:rFonts w:ascii="Calibri Light" w:eastAsia="Calibri Light" w:hAnsi="Calibri Light" w:cs="Calibri Light"/>
          <w:b/>
          <w:bCs/>
          <w:color w:val="2F5496"/>
          <w:sz w:val="28"/>
          <w:szCs w:val="28"/>
        </w:rPr>
        <w:t xml:space="preserve">HPV Vaccine </w:t>
      </w:r>
    </w:p>
    <w:p w14:paraId="1C46F00A" w14:textId="5BEAE7D8"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The </w:t>
      </w:r>
      <w:hyperlink r:id="rId17">
        <w:r w:rsidRPr="1C556F3B">
          <w:rPr>
            <w:rStyle w:val="Hyperlink"/>
            <w:rFonts w:ascii="Calibri" w:eastAsia="Calibri" w:hAnsi="Calibri" w:cs="Calibri"/>
          </w:rPr>
          <w:t>HPV vaccine</w:t>
        </w:r>
      </w:hyperlink>
      <w:r w:rsidRPr="1C556F3B">
        <w:rPr>
          <w:rFonts w:ascii="Calibri" w:eastAsia="Calibri" w:hAnsi="Calibri" w:cs="Calibri"/>
          <w:color w:val="000000" w:themeColor="text1"/>
        </w:rPr>
        <w:t xml:space="preserve"> helps protect against genital warts and cancers (such as cervical cancer and some cancers of the anus and genital areas) caused by the human papilloma virus (HPV). </w:t>
      </w:r>
    </w:p>
    <w:p w14:paraId="5ECF5217" w14:textId="215BA40D"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If you missed the HPV vaccine at school, you can still ask your General </w:t>
      </w:r>
      <w:proofErr w:type="spellStart"/>
      <w:r w:rsidRPr="1C556F3B">
        <w:rPr>
          <w:rFonts w:ascii="Calibri" w:eastAsia="Calibri" w:hAnsi="Calibri" w:cs="Calibri"/>
          <w:color w:val="000000" w:themeColor="text1"/>
        </w:rPr>
        <w:t>Practiti</w:t>
      </w:r>
      <w:r w:rsidR="000827AE">
        <w:rPr>
          <w:rFonts w:ascii="Calibri" w:eastAsia="Calibri" w:hAnsi="Calibri" w:cs="Calibri"/>
          <w:color w:val="000000" w:themeColor="text1"/>
        </w:rPr>
        <w:t>c</w:t>
      </w:r>
      <w:r w:rsidRPr="1C556F3B">
        <w:rPr>
          <w:rFonts w:ascii="Calibri" w:eastAsia="Calibri" w:hAnsi="Calibri" w:cs="Calibri"/>
          <w:color w:val="000000" w:themeColor="text1"/>
        </w:rPr>
        <w:t>e</w:t>
      </w:r>
      <w:proofErr w:type="spellEnd"/>
      <w:r w:rsidRPr="1C556F3B">
        <w:rPr>
          <w:rFonts w:ascii="Calibri" w:eastAsia="Calibri" w:hAnsi="Calibri" w:cs="Calibri"/>
          <w:color w:val="000000" w:themeColor="text1"/>
        </w:rPr>
        <w:t xml:space="preserve"> for this vaccine up until your 25th birthday (for women born after 1 September 1991 and men born after 1 September 2006).</w:t>
      </w:r>
    </w:p>
    <w:p w14:paraId="0E56DBE8" w14:textId="413682E8" w:rsidR="00296FE1" w:rsidRDefault="0E5CA384" w:rsidP="1C556F3B">
      <w:pPr>
        <w:spacing w:after="120" w:line="240" w:lineRule="auto"/>
        <w:rPr>
          <w:rFonts w:ascii="Calibri Light" w:eastAsia="Calibri Light" w:hAnsi="Calibri Light" w:cs="Calibri Light"/>
          <w:color w:val="2F5496"/>
          <w:sz w:val="28"/>
          <w:szCs w:val="28"/>
        </w:rPr>
      </w:pPr>
      <w:r w:rsidRPr="1C556F3B">
        <w:rPr>
          <w:rFonts w:ascii="Calibri Light" w:eastAsia="Calibri Light" w:hAnsi="Calibri Light" w:cs="Calibri Light"/>
          <w:b/>
          <w:bCs/>
          <w:color w:val="2F5496"/>
          <w:sz w:val="28"/>
          <w:szCs w:val="28"/>
        </w:rPr>
        <w:t>Influenza and Covid-19</w:t>
      </w:r>
    </w:p>
    <w:p w14:paraId="32F8D372" w14:textId="58D2C3A7"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Some students might be at an increased risk of getting seriously ill from influenza and/or Covid-19. If you think you might be in a high clinical risk group, contact your General Practitioner at the start of term to see if you need to have a </w:t>
      </w:r>
      <w:hyperlink r:id="rId18">
        <w:r w:rsidRPr="1C556F3B">
          <w:rPr>
            <w:rStyle w:val="Hyperlink"/>
            <w:rFonts w:ascii="Calibri" w:eastAsia="Calibri" w:hAnsi="Calibri" w:cs="Calibri"/>
          </w:rPr>
          <w:t>flu vaccine</w:t>
        </w:r>
      </w:hyperlink>
      <w:r w:rsidRPr="1C556F3B">
        <w:rPr>
          <w:rFonts w:ascii="Calibri" w:eastAsia="Calibri" w:hAnsi="Calibri" w:cs="Calibri"/>
          <w:color w:val="000000" w:themeColor="text1"/>
        </w:rPr>
        <w:t xml:space="preserve">  or a </w:t>
      </w:r>
      <w:hyperlink r:id="rId19">
        <w:r w:rsidRPr="1C556F3B">
          <w:rPr>
            <w:rStyle w:val="Hyperlink"/>
            <w:rFonts w:ascii="Calibri" w:eastAsia="Calibri" w:hAnsi="Calibri" w:cs="Calibri"/>
          </w:rPr>
          <w:t>first covid-19 vaccine or booster</w:t>
        </w:r>
      </w:hyperlink>
      <w:r w:rsidRPr="1C556F3B">
        <w:rPr>
          <w:rFonts w:ascii="Calibri" w:eastAsia="Calibri" w:hAnsi="Calibri" w:cs="Calibri"/>
          <w:color w:val="000000" w:themeColor="text1"/>
        </w:rPr>
        <w:t xml:space="preserve">, and read more about the </w:t>
      </w:r>
      <w:hyperlink r:id="rId20">
        <w:r w:rsidRPr="1C556F3B">
          <w:rPr>
            <w:rStyle w:val="Hyperlink"/>
            <w:rFonts w:ascii="Calibri" w:eastAsia="Calibri" w:hAnsi="Calibri" w:cs="Calibri"/>
          </w:rPr>
          <w:t>National Flu Immunisation Programme</w:t>
        </w:r>
      </w:hyperlink>
      <w:r w:rsidRPr="1C556F3B">
        <w:rPr>
          <w:rFonts w:ascii="Calibri" w:eastAsia="Calibri" w:hAnsi="Calibri" w:cs="Calibri"/>
          <w:color w:val="000000" w:themeColor="text1"/>
        </w:rPr>
        <w:t xml:space="preserve"> on the UK Government website. </w:t>
      </w:r>
    </w:p>
    <w:p w14:paraId="0AF09CC8" w14:textId="13E6745D" w:rsidR="00296FE1" w:rsidRDefault="0E5CA384" w:rsidP="1C556F3B">
      <w:pPr>
        <w:spacing w:before="240" w:after="120" w:line="240" w:lineRule="auto"/>
        <w:rPr>
          <w:rFonts w:ascii="Calibri Light" w:eastAsia="Calibri Light" w:hAnsi="Calibri Light" w:cs="Calibri Light"/>
          <w:color w:val="2F5496"/>
          <w:sz w:val="28"/>
          <w:szCs w:val="28"/>
        </w:rPr>
      </w:pPr>
      <w:r w:rsidRPr="1C556F3B">
        <w:rPr>
          <w:rFonts w:ascii="Calibri Light" w:eastAsia="Calibri Light" w:hAnsi="Calibri Light" w:cs="Calibri Light"/>
          <w:b/>
          <w:bCs/>
          <w:color w:val="2F5496"/>
          <w:sz w:val="28"/>
          <w:szCs w:val="28"/>
        </w:rPr>
        <w:t>Registering with a General Practitioner (GP) in Oxford</w:t>
      </w:r>
    </w:p>
    <w:p w14:paraId="50B2D4FF" w14:textId="4DB91B70" w:rsidR="007D1651" w:rsidRDefault="4BADC007" w:rsidP="1C556F3B">
      <w:pPr>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lastRenderedPageBreak/>
        <w:t xml:space="preserve">All students are </w:t>
      </w:r>
      <w:r w:rsidR="51E9B085" w:rsidRPr="54003728">
        <w:rPr>
          <w:rFonts w:ascii="Calibri" w:eastAsia="Calibri" w:hAnsi="Calibri" w:cs="Calibri"/>
          <w:color w:val="000000" w:themeColor="text1"/>
        </w:rPr>
        <w:t xml:space="preserve">strongly </w:t>
      </w:r>
      <w:r w:rsidRPr="54003728">
        <w:rPr>
          <w:rFonts w:ascii="Calibri" w:eastAsia="Calibri" w:hAnsi="Calibri" w:cs="Calibri"/>
          <w:color w:val="000000" w:themeColor="text1"/>
        </w:rPr>
        <w:t xml:space="preserve">advised to register with their </w:t>
      </w:r>
      <w:r w:rsidR="522C326D" w:rsidRPr="54003728">
        <w:rPr>
          <w:rFonts w:ascii="Calibri" w:eastAsia="Calibri" w:hAnsi="Calibri" w:cs="Calibri"/>
          <w:color w:val="000000" w:themeColor="text1"/>
        </w:rPr>
        <w:t>c</w:t>
      </w:r>
      <w:r w:rsidRPr="54003728">
        <w:rPr>
          <w:rFonts w:ascii="Calibri" w:eastAsia="Calibri" w:hAnsi="Calibri" w:cs="Calibri"/>
          <w:color w:val="000000" w:themeColor="text1"/>
        </w:rPr>
        <w:t xml:space="preserve">ollege </w:t>
      </w:r>
      <w:r w:rsidR="09A83B4D" w:rsidRPr="54003728">
        <w:rPr>
          <w:rFonts w:ascii="Calibri" w:eastAsia="Calibri" w:hAnsi="Calibri" w:cs="Calibri"/>
          <w:color w:val="000000" w:themeColor="text1"/>
        </w:rPr>
        <w:t>d</w:t>
      </w:r>
      <w:r w:rsidRPr="54003728">
        <w:rPr>
          <w:rFonts w:ascii="Calibri" w:eastAsia="Calibri" w:hAnsi="Calibri" w:cs="Calibri"/>
          <w:color w:val="000000" w:themeColor="text1"/>
        </w:rPr>
        <w:t>octor</w:t>
      </w:r>
      <w:r w:rsidR="51E9B085" w:rsidRPr="54003728">
        <w:rPr>
          <w:rFonts w:ascii="Calibri" w:eastAsia="Calibri" w:hAnsi="Calibri" w:cs="Calibri"/>
          <w:color w:val="000000" w:themeColor="text1"/>
        </w:rPr>
        <w:t xml:space="preserve">. Most practices allow on-line registration which </w:t>
      </w:r>
      <w:r w:rsidR="10B1DB37" w:rsidRPr="54003728">
        <w:rPr>
          <w:rFonts w:ascii="Calibri" w:eastAsia="Calibri" w:hAnsi="Calibri" w:cs="Calibri"/>
          <w:color w:val="000000" w:themeColor="text1"/>
        </w:rPr>
        <w:t>you can apply for before</w:t>
      </w:r>
      <w:r w:rsidR="51E9B085" w:rsidRPr="54003728">
        <w:rPr>
          <w:rFonts w:ascii="Calibri" w:eastAsia="Calibri" w:hAnsi="Calibri" w:cs="Calibri"/>
          <w:color w:val="000000" w:themeColor="text1"/>
        </w:rPr>
        <w:t xml:space="preserve"> coming to Oxford</w:t>
      </w:r>
      <w:r w:rsidR="10B1DB37" w:rsidRPr="54003728">
        <w:rPr>
          <w:rFonts w:ascii="Calibri" w:eastAsia="Calibri" w:hAnsi="Calibri" w:cs="Calibri"/>
          <w:color w:val="000000" w:themeColor="text1"/>
        </w:rPr>
        <w:t xml:space="preserve">. </w:t>
      </w:r>
      <w:hyperlink r:id="rId21">
        <w:proofErr w:type="spellStart"/>
        <w:r w:rsidR="10B1DB37" w:rsidRPr="54003728">
          <w:rPr>
            <w:rStyle w:val="Hyperlink"/>
            <w:rFonts w:ascii="Calibri" w:eastAsia="Calibri" w:hAnsi="Calibri" w:cs="Calibri"/>
          </w:rPr>
          <w:t>CampusDoctor</w:t>
        </w:r>
        <w:proofErr w:type="spellEnd"/>
      </w:hyperlink>
      <w:r w:rsidR="10B1DB37" w:rsidRPr="54003728">
        <w:rPr>
          <w:rFonts w:ascii="Calibri" w:eastAsia="Calibri" w:hAnsi="Calibri" w:cs="Calibri"/>
          <w:color w:val="000000" w:themeColor="text1"/>
        </w:rPr>
        <w:t xml:space="preserve"> is an online service which you can use to register with </w:t>
      </w:r>
      <w:r w:rsidR="12FB1741" w:rsidRPr="54003728">
        <w:rPr>
          <w:rFonts w:ascii="Calibri" w:eastAsia="Calibri" w:hAnsi="Calibri" w:cs="Calibri"/>
          <w:color w:val="000000" w:themeColor="text1"/>
        </w:rPr>
        <w:t xml:space="preserve">your </w:t>
      </w:r>
      <w:r w:rsidR="01E7F8A7" w:rsidRPr="54003728">
        <w:rPr>
          <w:rFonts w:ascii="Calibri" w:eastAsia="Calibri" w:hAnsi="Calibri" w:cs="Calibri"/>
          <w:color w:val="000000" w:themeColor="text1"/>
        </w:rPr>
        <w:t>c</w:t>
      </w:r>
      <w:r w:rsidR="12FB1741" w:rsidRPr="54003728">
        <w:rPr>
          <w:rFonts w:ascii="Calibri" w:eastAsia="Calibri" w:hAnsi="Calibri" w:cs="Calibri"/>
          <w:color w:val="000000" w:themeColor="text1"/>
        </w:rPr>
        <w:t xml:space="preserve">ollege </w:t>
      </w:r>
      <w:r w:rsidR="02FB8ED9" w:rsidRPr="54003728">
        <w:rPr>
          <w:rFonts w:ascii="Calibri" w:eastAsia="Calibri" w:hAnsi="Calibri" w:cs="Calibri"/>
          <w:color w:val="000000" w:themeColor="text1"/>
        </w:rPr>
        <w:t>d</w:t>
      </w:r>
      <w:r w:rsidR="12FB1741" w:rsidRPr="54003728">
        <w:rPr>
          <w:rFonts w:ascii="Calibri" w:eastAsia="Calibri" w:hAnsi="Calibri" w:cs="Calibri"/>
          <w:color w:val="000000" w:themeColor="text1"/>
        </w:rPr>
        <w:t>octor</w:t>
      </w:r>
      <w:r w:rsidRPr="54003728">
        <w:rPr>
          <w:rFonts w:ascii="Calibri" w:eastAsia="Calibri" w:hAnsi="Calibri" w:cs="Calibri"/>
          <w:color w:val="000000" w:themeColor="text1"/>
        </w:rPr>
        <w:t>.</w:t>
      </w:r>
    </w:p>
    <w:p w14:paraId="198CD05E" w14:textId="73A3D895" w:rsidR="000827AE" w:rsidRDefault="000827AE" w:rsidP="1C556F3B">
      <w:pPr>
        <w:spacing w:after="120" w:line="240" w:lineRule="auto"/>
        <w:rPr>
          <w:rFonts w:ascii="Calibri" w:eastAsia="Calibri" w:hAnsi="Calibri" w:cs="Calibri"/>
          <w:color w:val="000000" w:themeColor="text1"/>
        </w:rPr>
      </w:pPr>
      <w:r>
        <w:rPr>
          <w:rFonts w:ascii="Calibri" w:eastAsia="Calibri" w:hAnsi="Calibri" w:cs="Calibri"/>
          <w:color w:val="000000" w:themeColor="text1"/>
        </w:rPr>
        <w:t>Once registered, your old GP records will usually be transferred from your previous practice if you were registered in England. If you have any significant medical history, it may be useful to bring a summary from your previous doctors.</w:t>
      </w:r>
    </w:p>
    <w:p w14:paraId="4EF666AD" w14:textId="77777777" w:rsidR="007D165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On registering with a </w:t>
      </w:r>
      <w:proofErr w:type="gramStart"/>
      <w:r w:rsidRPr="1C556F3B">
        <w:rPr>
          <w:rFonts w:ascii="Calibri" w:eastAsia="Calibri" w:hAnsi="Calibri" w:cs="Calibri"/>
          <w:color w:val="000000" w:themeColor="text1"/>
        </w:rPr>
        <w:t>doctor</w:t>
      </w:r>
      <w:proofErr w:type="gramEnd"/>
      <w:r w:rsidRPr="1C556F3B">
        <w:rPr>
          <w:rFonts w:ascii="Calibri" w:eastAsia="Calibri" w:hAnsi="Calibri" w:cs="Calibri"/>
          <w:color w:val="000000" w:themeColor="text1"/>
        </w:rPr>
        <w:t xml:space="preserve"> you will be given an NHS Number if you do not already have one, and will be asked for the dates of your immunisations. You </w:t>
      </w:r>
      <w:r w:rsidR="007D1651">
        <w:rPr>
          <w:rFonts w:ascii="Calibri" w:eastAsia="Calibri" w:hAnsi="Calibri" w:cs="Calibri"/>
          <w:color w:val="000000" w:themeColor="text1"/>
        </w:rPr>
        <w:t>can then contact your practice</w:t>
      </w:r>
      <w:r w:rsidRPr="1C556F3B">
        <w:rPr>
          <w:rFonts w:ascii="Calibri" w:eastAsia="Calibri" w:hAnsi="Calibri" w:cs="Calibri"/>
          <w:color w:val="000000" w:themeColor="text1"/>
        </w:rPr>
        <w:t xml:space="preserve"> to arrange</w:t>
      </w:r>
      <w:r w:rsidR="007D1651">
        <w:rPr>
          <w:rFonts w:ascii="Calibri" w:eastAsia="Calibri" w:hAnsi="Calibri" w:cs="Calibri"/>
          <w:color w:val="000000" w:themeColor="text1"/>
        </w:rPr>
        <w:t xml:space="preserve"> any</w:t>
      </w:r>
      <w:r w:rsidRPr="1C556F3B">
        <w:rPr>
          <w:rFonts w:ascii="Calibri" w:eastAsia="Calibri" w:hAnsi="Calibri" w:cs="Calibri"/>
          <w:color w:val="000000" w:themeColor="text1"/>
        </w:rPr>
        <w:t xml:space="preserve"> immunisations </w:t>
      </w:r>
      <w:r w:rsidR="007D1651">
        <w:rPr>
          <w:rFonts w:ascii="Calibri" w:eastAsia="Calibri" w:hAnsi="Calibri" w:cs="Calibri"/>
          <w:color w:val="000000" w:themeColor="text1"/>
        </w:rPr>
        <w:t>you have not yet received</w:t>
      </w:r>
      <w:r w:rsidRPr="1C556F3B">
        <w:rPr>
          <w:rFonts w:ascii="Calibri" w:eastAsia="Calibri" w:hAnsi="Calibri" w:cs="Calibri"/>
          <w:color w:val="000000" w:themeColor="text1"/>
        </w:rPr>
        <w:t xml:space="preserve">. </w:t>
      </w:r>
    </w:p>
    <w:p w14:paraId="6BFD0CE0" w14:textId="5263851C"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If you have any further queries, please contact your college </w:t>
      </w:r>
      <w:r w:rsidR="000827AE">
        <w:rPr>
          <w:rFonts w:ascii="Calibri" w:eastAsia="Calibri" w:hAnsi="Calibri" w:cs="Calibri"/>
          <w:color w:val="000000" w:themeColor="text1"/>
        </w:rPr>
        <w:t xml:space="preserve">welfare team </w:t>
      </w:r>
      <w:r w:rsidRPr="1C556F3B">
        <w:rPr>
          <w:rFonts w:ascii="Calibri" w:eastAsia="Calibri" w:hAnsi="Calibri" w:cs="Calibri"/>
          <w:color w:val="000000" w:themeColor="text1"/>
        </w:rPr>
        <w:t xml:space="preserve">or </w:t>
      </w:r>
      <w:r w:rsidR="000827AE">
        <w:rPr>
          <w:rFonts w:ascii="Calibri" w:eastAsia="Calibri" w:hAnsi="Calibri" w:cs="Calibri"/>
          <w:color w:val="000000" w:themeColor="text1"/>
        </w:rPr>
        <w:t xml:space="preserve">college </w:t>
      </w:r>
      <w:r w:rsidRPr="1C556F3B">
        <w:rPr>
          <w:rFonts w:ascii="Calibri" w:eastAsia="Calibri" w:hAnsi="Calibri" w:cs="Calibri"/>
          <w:color w:val="000000" w:themeColor="text1"/>
        </w:rPr>
        <w:t xml:space="preserve">doctor. </w:t>
      </w:r>
    </w:p>
    <w:p w14:paraId="6010AD71" w14:textId="48CA2D40"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More information about college doctors and nurses is available on the </w:t>
      </w:r>
      <w:hyperlink r:id="rId22">
        <w:r w:rsidRPr="1C556F3B">
          <w:rPr>
            <w:rStyle w:val="Hyperlink"/>
            <w:rFonts w:ascii="Calibri" w:eastAsia="Calibri" w:hAnsi="Calibri" w:cs="Calibri"/>
          </w:rPr>
          <w:t>student webpages</w:t>
        </w:r>
      </w:hyperlink>
      <w:r w:rsidRPr="1C556F3B">
        <w:rPr>
          <w:rFonts w:ascii="Calibri" w:eastAsia="Calibri" w:hAnsi="Calibri" w:cs="Calibri"/>
          <w:color w:val="000000" w:themeColor="text1"/>
        </w:rPr>
        <w:t>.</w:t>
      </w:r>
    </w:p>
    <w:p w14:paraId="4B547FDB" w14:textId="500F474D"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The NHS also provide advice on </w:t>
      </w:r>
      <w:hyperlink r:id="rId23">
        <w:r w:rsidRPr="1C556F3B">
          <w:rPr>
            <w:rStyle w:val="Hyperlink"/>
            <w:rFonts w:ascii="Calibri" w:eastAsia="Calibri" w:hAnsi="Calibri" w:cs="Calibri"/>
          </w:rPr>
          <w:t>getting medical care as a student</w:t>
        </w:r>
      </w:hyperlink>
      <w:r w:rsidRPr="1C556F3B">
        <w:rPr>
          <w:rFonts w:ascii="Calibri" w:eastAsia="Calibri" w:hAnsi="Calibri" w:cs="Calibri"/>
          <w:color w:val="000000" w:themeColor="text1"/>
        </w:rPr>
        <w:t>.</w:t>
      </w:r>
    </w:p>
    <w:p w14:paraId="2F0C4FB9" w14:textId="78F66B37" w:rsidR="00296FE1" w:rsidRDefault="0E5CA384" w:rsidP="1C556F3B">
      <w:pPr>
        <w:spacing w:before="240" w:after="120" w:line="240" w:lineRule="auto"/>
        <w:rPr>
          <w:rFonts w:ascii="Calibri Light" w:eastAsia="Calibri Light" w:hAnsi="Calibri Light" w:cs="Calibri Light"/>
          <w:color w:val="2F5496"/>
          <w:sz w:val="28"/>
          <w:szCs w:val="28"/>
        </w:rPr>
      </w:pPr>
      <w:r w:rsidRPr="1C556F3B">
        <w:rPr>
          <w:rFonts w:ascii="Calibri Light" w:eastAsia="Calibri Light" w:hAnsi="Calibri Light" w:cs="Calibri Light"/>
          <w:b/>
          <w:bCs/>
          <w:color w:val="2F5496"/>
          <w:sz w:val="28"/>
          <w:szCs w:val="28"/>
        </w:rPr>
        <w:t>Sexual health and contraception</w:t>
      </w:r>
    </w:p>
    <w:p w14:paraId="345F76FA" w14:textId="1E134AFC"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Sexual health advice can be found on the </w:t>
      </w:r>
      <w:hyperlink r:id="rId24">
        <w:r w:rsidRPr="1C556F3B">
          <w:rPr>
            <w:rStyle w:val="Hyperlink"/>
            <w:rFonts w:ascii="Calibri" w:eastAsia="Calibri" w:hAnsi="Calibri" w:cs="Calibri"/>
          </w:rPr>
          <w:t>Oxfordshire Sexual Health Service website</w:t>
        </w:r>
      </w:hyperlink>
      <w:r w:rsidRPr="1C556F3B">
        <w:rPr>
          <w:rFonts w:ascii="Calibri" w:eastAsia="Calibri" w:hAnsi="Calibri" w:cs="Calibri"/>
          <w:color w:val="000000" w:themeColor="text1"/>
        </w:rPr>
        <w:t xml:space="preserve">. Women can now also access a new NHS service offering free oral contraception through participating pharmacies; simply walk in and speak directly with a pharmacist to arrange a consultation about starting or continuing the contraceptive pill. This includes the supply of medication and does not require GP registration. Further information can be found </w:t>
      </w:r>
      <w:hyperlink r:id="rId25">
        <w:r w:rsidRPr="1C556F3B">
          <w:rPr>
            <w:rStyle w:val="Hyperlink"/>
            <w:rFonts w:ascii="Calibri" w:eastAsia="Calibri" w:hAnsi="Calibri" w:cs="Calibri"/>
          </w:rPr>
          <w:t>here</w:t>
        </w:r>
      </w:hyperlink>
      <w:r w:rsidRPr="1C556F3B">
        <w:rPr>
          <w:rFonts w:ascii="Calibri" w:eastAsia="Calibri" w:hAnsi="Calibri" w:cs="Calibri"/>
          <w:color w:val="000000" w:themeColor="text1"/>
        </w:rPr>
        <w:t>.</w:t>
      </w:r>
    </w:p>
    <w:p w14:paraId="7CFBDACB" w14:textId="65371455" w:rsidR="00296FE1" w:rsidRDefault="00296FE1" w:rsidP="1C556F3B">
      <w:pPr>
        <w:spacing w:after="120" w:line="240" w:lineRule="auto"/>
        <w:rPr>
          <w:rFonts w:ascii="Calibri" w:eastAsia="Calibri" w:hAnsi="Calibri" w:cs="Calibri"/>
          <w:color w:val="000000" w:themeColor="text1"/>
        </w:rPr>
      </w:pPr>
    </w:p>
    <w:p w14:paraId="34E2D090" w14:textId="41A0F191"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Yours faithfully </w:t>
      </w:r>
    </w:p>
    <w:p w14:paraId="7C0F43A2" w14:textId="3C141981" w:rsidR="00296FE1" w:rsidRDefault="00296FE1" w:rsidP="1C556F3B">
      <w:pPr>
        <w:spacing w:after="120" w:line="240" w:lineRule="auto"/>
        <w:rPr>
          <w:rFonts w:ascii="Calibri" w:eastAsia="Calibri" w:hAnsi="Calibri" w:cs="Calibri"/>
          <w:color w:val="000000" w:themeColor="text1"/>
        </w:rPr>
      </w:pPr>
    </w:p>
    <w:p w14:paraId="7295CB44" w14:textId="60FFD03C"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 xml:space="preserve">Katherine </w:t>
      </w:r>
      <w:proofErr w:type="spellStart"/>
      <w:r w:rsidRPr="1C556F3B">
        <w:rPr>
          <w:rFonts w:ascii="Calibri" w:eastAsia="Calibri" w:hAnsi="Calibri" w:cs="Calibri"/>
          <w:color w:val="000000" w:themeColor="text1"/>
        </w:rPr>
        <w:t>Noren</w:t>
      </w:r>
      <w:proofErr w:type="spellEnd"/>
      <w:r w:rsidRPr="1C556F3B">
        <w:rPr>
          <w:rFonts w:ascii="Calibri" w:eastAsia="Calibri" w:hAnsi="Calibri" w:cs="Calibri"/>
          <w:color w:val="000000" w:themeColor="text1"/>
        </w:rPr>
        <w:t xml:space="preserve"> and Jane Harris</w:t>
      </w:r>
    </w:p>
    <w:p w14:paraId="6BFC4646" w14:textId="7B118948"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Co-Directors of Student Welfare and Support Services</w:t>
      </w:r>
    </w:p>
    <w:p w14:paraId="6A641FA1" w14:textId="762417EE" w:rsidR="00296FE1" w:rsidRDefault="0E5CA384" w:rsidP="1C556F3B">
      <w:pPr>
        <w:spacing w:after="120" w:line="240" w:lineRule="auto"/>
        <w:rPr>
          <w:rFonts w:ascii="Calibri" w:eastAsia="Calibri" w:hAnsi="Calibri" w:cs="Calibri"/>
          <w:color w:val="000000" w:themeColor="text1"/>
        </w:rPr>
      </w:pPr>
      <w:r w:rsidRPr="1C556F3B">
        <w:rPr>
          <w:rFonts w:ascii="Calibri" w:eastAsia="Calibri" w:hAnsi="Calibri" w:cs="Calibri"/>
          <w:color w:val="000000" w:themeColor="text1"/>
        </w:rPr>
        <w:t>University of Oxford</w:t>
      </w:r>
    </w:p>
    <w:p w14:paraId="1A910305" w14:textId="5B06338F" w:rsidR="00296FE1" w:rsidRDefault="00296FE1" w:rsidP="1C556F3B">
      <w:pPr>
        <w:spacing w:after="120" w:line="240" w:lineRule="auto"/>
        <w:rPr>
          <w:rFonts w:ascii="Calibri" w:eastAsia="Calibri" w:hAnsi="Calibri" w:cs="Calibri"/>
          <w:color w:val="000000" w:themeColor="text1"/>
        </w:rPr>
      </w:pPr>
    </w:p>
    <w:p w14:paraId="016C2EFD" w14:textId="002F4344" w:rsidR="295483BB" w:rsidRDefault="295483BB" w:rsidP="54003728">
      <w:pPr>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t xml:space="preserve">Rachel </w:t>
      </w:r>
      <w:proofErr w:type="spellStart"/>
      <w:r w:rsidRPr="54003728">
        <w:rPr>
          <w:rFonts w:ascii="Calibri" w:eastAsia="Calibri" w:hAnsi="Calibri" w:cs="Calibri"/>
          <w:color w:val="000000" w:themeColor="text1"/>
        </w:rPr>
        <w:t>Mearkle</w:t>
      </w:r>
      <w:proofErr w:type="spellEnd"/>
    </w:p>
    <w:p w14:paraId="45311BE4" w14:textId="4495270C" w:rsidR="295483BB" w:rsidRDefault="295483BB" w:rsidP="54003728">
      <w:pPr>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t>Consultant in Health Protection</w:t>
      </w:r>
    </w:p>
    <w:p w14:paraId="6A21FC96" w14:textId="19A6D4EB" w:rsidR="295483BB" w:rsidRDefault="295483BB" w:rsidP="54003728">
      <w:pPr>
        <w:spacing w:after="120" w:line="240" w:lineRule="auto"/>
        <w:rPr>
          <w:rFonts w:ascii="Calibri" w:eastAsia="Calibri" w:hAnsi="Calibri" w:cs="Calibri"/>
          <w:color w:val="000000" w:themeColor="text1"/>
        </w:rPr>
      </w:pPr>
      <w:r w:rsidRPr="54003728">
        <w:rPr>
          <w:rFonts w:ascii="Calibri" w:eastAsia="Calibri" w:hAnsi="Calibri" w:cs="Calibri"/>
          <w:color w:val="000000" w:themeColor="text1"/>
        </w:rPr>
        <w:t>UKHSA SE Health Protection Team</w:t>
      </w:r>
    </w:p>
    <w:p w14:paraId="0C61D14F" w14:textId="6B6F3213" w:rsidR="54003728" w:rsidRDefault="54003728" w:rsidP="54003728">
      <w:pPr>
        <w:spacing w:after="120" w:line="240" w:lineRule="auto"/>
        <w:rPr>
          <w:rFonts w:ascii="Calibri" w:eastAsia="Calibri" w:hAnsi="Calibri" w:cs="Calibri"/>
          <w:color w:val="000000" w:themeColor="text1"/>
        </w:rPr>
      </w:pPr>
    </w:p>
    <w:p w14:paraId="4A56FF0A" w14:textId="392DC0AC" w:rsidR="00296FE1" w:rsidRDefault="00296FE1" w:rsidP="1C556F3B">
      <w:pPr>
        <w:rPr>
          <w:rFonts w:ascii="Aptos" w:eastAsia="Aptos" w:hAnsi="Aptos" w:cs="Aptos"/>
          <w:color w:val="000000" w:themeColor="text1"/>
        </w:rPr>
      </w:pPr>
    </w:p>
    <w:p w14:paraId="5E5787A5" w14:textId="320004EB" w:rsidR="00296FE1" w:rsidRDefault="00296FE1"/>
    <w:sectPr w:rsidR="00296F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Ooit4eTiprLQo" int2:id="34DcAYgs">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06E66"/>
    <w:multiLevelType w:val="hybridMultilevel"/>
    <w:tmpl w:val="0AB4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B5C177"/>
    <w:rsid w:val="000827AE"/>
    <w:rsid w:val="00296FE1"/>
    <w:rsid w:val="00456AB4"/>
    <w:rsid w:val="004A51E6"/>
    <w:rsid w:val="004E08E5"/>
    <w:rsid w:val="007D1651"/>
    <w:rsid w:val="009C30E3"/>
    <w:rsid w:val="009C5DAB"/>
    <w:rsid w:val="00A63343"/>
    <w:rsid w:val="00F8141B"/>
    <w:rsid w:val="00FB5A19"/>
    <w:rsid w:val="0113B404"/>
    <w:rsid w:val="01E7F8A7"/>
    <w:rsid w:val="02389B84"/>
    <w:rsid w:val="02E010D1"/>
    <w:rsid w:val="02FB8ED9"/>
    <w:rsid w:val="03CEA6DB"/>
    <w:rsid w:val="041262D2"/>
    <w:rsid w:val="05218D9E"/>
    <w:rsid w:val="068E7151"/>
    <w:rsid w:val="070BCFF1"/>
    <w:rsid w:val="07D8A334"/>
    <w:rsid w:val="09A83B4D"/>
    <w:rsid w:val="09DEA4A9"/>
    <w:rsid w:val="0C1AB5F9"/>
    <w:rsid w:val="0E5CA384"/>
    <w:rsid w:val="0FCB1CFF"/>
    <w:rsid w:val="10012BE1"/>
    <w:rsid w:val="10B1DB37"/>
    <w:rsid w:val="12A7074F"/>
    <w:rsid w:val="12FB1741"/>
    <w:rsid w:val="1456458C"/>
    <w:rsid w:val="16F2BC4B"/>
    <w:rsid w:val="1AE9C73A"/>
    <w:rsid w:val="1B94A4E2"/>
    <w:rsid w:val="1C556F3B"/>
    <w:rsid w:val="1FBF67B2"/>
    <w:rsid w:val="25EC0E42"/>
    <w:rsid w:val="26603AD3"/>
    <w:rsid w:val="295483BB"/>
    <w:rsid w:val="2AAFB3AA"/>
    <w:rsid w:val="2BF91314"/>
    <w:rsid w:val="2D65FE84"/>
    <w:rsid w:val="319CDCD1"/>
    <w:rsid w:val="3268D808"/>
    <w:rsid w:val="33807FBE"/>
    <w:rsid w:val="35C5D15C"/>
    <w:rsid w:val="39B5C177"/>
    <w:rsid w:val="39D0A5DE"/>
    <w:rsid w:val="3AD38E4F"/>
    <w:rsid w:val="3B23B8F8"/>
    <w:rsid w:val="3CEBD25E"/>
    <w:rsid w:val="3D5A3C91"/>
    <w:rsid w:val="3D8E31FF"/>
    <w:rsid w:val="3E6160FE"/>
    <w:rsid w:val="4149C675"/>
    <w:rsid w:val="43717E27"/>
    <w:rsid w:val="45137BA9"/>
    <w:rsid w:val="452AA1D4"/>
    <w:rsid w:val="4648DDF0"/>
    <w:rsid w:val="46B8D5FA"/>
    <w:rsid w:val="47374576"/>
    <w:rsid w:val="4B0706AE"/>
    <w:rsid w:val="4B6A549F"/>
    <w:rsid w:val="4BADC007"/>
    <w:rsid w:val="4C4972F3"/>
    <w:rsid w:val="501C09EA"/>
    <w:rsid w:val="51E9B085"/>
    <w:rsid w:val="522C326D"/>
    <w:rsid w:val="527E13E4"/>
    <w:rsid w:val="54003728"/>
    <w:rsid w:val="54283454"/>
    <w:rsid w:val="5445A60C"/>
    <w:rsid w:val="54A584CD"/>
    <w:rsid w:val="556AAAC1"/>
    <w:rsid w:val="5C3DC620"/>
    <w:rsid w:val="622371DE"/>
    <w:rsid w:val="6530A771"/>
    <w:rsid w:val="65EDAB9E"/>
    <w:rsid w:val="661209F9"/>
    <w:rsid w:val="677239F3"/>
    <w:rsid w:val="6774E4E1"/>
    <w:rsid w:val="684DD96B"/>
    <w:rsid w:val="6A424532"/>
    <w:rsid w:val="6D47A9B5"/>
    <w:rsid w:val="6E9E0166"/>
    <w:rsid w:val="71042DFF"/>
    <w:rsid w:val="7699C1C5"/>
    <w:rsid w:val="79FCC127"/>
    <w:rsid w:val="7C4FA069"/>
    <w:rsid w:val="7CD907CF"/>
    <w:rsid w:val="7D94494F"/>
    <w:rsid w:val="7E38A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177"/>
  <w15:chartTrackingRefBased/>
  <w15:docId w15:val="{04D52116-8AE9-4189-B665-7CBDE17E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C556F3B"/>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27AE"/>
    <w:pPr>
      <w:spacing w:after="0" w:line="240" w:lineRule="auto"/>
    </w:pPr>
  </w:style>
  <w:style w:type="paragraph" w:styleId="ListParagraph">
    <w:name w:val="List Paragraph"/>
    <w:basedOn w:val="Normal"/>
    <w:uiPriority w:val="34"/>
    <w:qFormat/>
    <w:rsid w:val="004A51E6"/>
    <w:pPr>
      <w:ind w:left="720"/>
      <w:contextualSpacing/>
    </w:pPr>
  </w:style>
  <w:style w:type="character" w:styleId="FollowedHyperlink">
    <w:name w:val="FollowedHyperlink"/>
    <w:basedOn w:val="DefaultParagraphFont"/>
    <w:uiPriority w:val="99"/>
    <w:semiHidden/>
    <w:unhideWhenUsed/>
    <w:rsid w:val="00F8141B"/>
    <w:rPr>
      <w:color w:val="96607D" w:themeColor="followedHyperlink"/>
      <w:u w:val="single"/>
    </w:rPr>
  </w:style>
  <w:style w:type="character" w:styleId="UnresolvedMention">
    <w:name w:val="Unresolved Mention"/>
    <w:basedOn w:val="DefaultParagraphFont"/>
    <w:uiPriority w:val="99"/>
    <w:semiHidden/>
    <w:unhideWhenUsed/>
    <w:rsid w:val="00F8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uk/conditions/measles/" TargetMode="External"/><Relationship Id="rId18" Type="http://schemas.openxmlformats.org/officeDocument/2006/relationships/hyperlink" Target="https://www.nhs.uk/conditions/vaccinations/flu-influenza-vacc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mpusdoctor.co.uk/oxford/" TargetMode="External"/><Relationship Id="rId7" Type="http://schemas.openxmlformats.org/officeDocument/2006/relationships/webSettings" Target="webSettings.xml"/><Relationship Id="rId12" Type="http://schemas.openxmlformats.org/officeDocument/2006/relationships/hyperlink" Target="https://www.nhs.uk/conditions/meningitis/" TargetMode="External"/><Relationship Id="rId17" Type="http://schemas.openxmlformats.org/officeDocument/2006/relationships/hyperlink" Target="https://www.nhs.uk/conditions/vaccinations/hpv-human-papillomavirus-vaccine/" TargetMode="External"/><Relationship Id="rId25" Type="http://schemas.openxmlformats.org/officeDocument/2006/relationships/hyperlink" Target="https://www.ox.ac.uk/students/welfare/health/sexual-health" TargetMode="External"/><Relationship Id="rId2" Type="http://schemas.openxmlformats.org/officeDocument/2006/relationships/customXml" Target="../customXml/item2.xml"/><Relationship Id="rId16" Type="http://schemas.openxmlformats.org/officeDocument/2006/relationships/hyperlink" Target="https://www.nhs.uk/vaccinations/mmr-vaccine/" TargetMode="External"/><Relationship Id="rId20" Type="http://schemas.openxmlformats.org/officeDocument/2006/relationships/hyperlink" Target="https://www.gov.uk/government/publications/national-flu-immunisation-programme-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vaccinations/men-acwy-vaccine/" TargetMode="External"/><Relationship Id="rId24" Type="http://schemas.openxmlformats.org/officeDocument/2006/relationships/hyperlink" Target="https://www.sexualhealthoxfordshire.nhs.uk/" TargetMode="External"/><Relationship Id="rId5" Type="http://schemas.openxmlformats.org/officeDocument/2006/relationships/styles" Target="styles.xml"/><Relationship Id="rId15" Type="http://schemas.openxmlformats.org/officeDocument/2006/relationships/hyperlink" Target="https://www.nhs.uk/conditions/rubella/" TargetMode="External"/><Relationship Id="rId23" Type="http://schemas.openxmlformats.org/officeDocument/2006/relationships/hyperlink" Target="https://www.nhs.uk/nhs-services/getting-medical-care-as-a-student/" TargetMode="External"/><Relationship Id="rId10" Type="http://schemas.openxmlformats.org/officeDocument/2006/relationships/hyperlink" Target="https://www.nhs.uk/conditions/meningitis/" TargetMode="External"/><Relationship Id="rId19" Type="http://schemas.openxmlformats.org/officeDocument/2006/relationships/hyperlink" Target="https://www.nhs.uk/conditions/covid-19/covid-19-vaccination/about-covid-19-vaccination/" TargetMode="External"/><Relationship Id="Rd124a8ff6b5348e3"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nhs.uk/conditions/mumps/" TargetMode="External"/><Relationship Id="rId22" Type="http://schemas.openxmlformats.org/officeDocument/2006/relationships/hyperlink" Target="https://www.ox.ac.uk/students/welfare/health/docto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492db0-c01a-4f75-95dd-d72eb68b8ae0">
      <Terms xmlns="http://schemas.microsoft.com/office/infopath/2007/PartnerControls"/>
    </lcf76f155ced4ddcb4097134ff3c332f>
    <TaxCatchAll xmlns="ac0e4510-c184-4a52-b5d6-d1abd0725a99" xsi:nil="true"/>
    <_Flow_SignoffStatus xmlns="30492db0-c01a-4f75-95dd-d72eb68b8a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567128DE1A4E828EF3682C5B39F3" ma:contentTypeVersion="15" ma:contentTypeDescription="Create a new document." ma:contentTypeScope="" ma:versionID="66c18265ba62dfbb2c4f009a143a87c4">
  <xsd:schema xmlns:xsd="http://www.w3.org/2001/XMLSchema" xmlns:xs="http://www.w3.org/2001/XMLSchema" xmlns:p="http://schemas.microsoft.com/office/2006/metadata/properties" xmlns:ns2="30492db0-c01a-4f75-95dd-d72eb68b8ae0" xmlns:ns3="ac0e4510-c184-4a52-b5d6-d1abd0725a99" targetNamespace="http://schemas.microsoft.com/office/2006/metadata/properties" ma:root="true" ma:fieldsID="fa518ec04327b79af0070e706044159d" ns2:_="" ns3:_="">
    <xsd:import namespace="30492db0-c01a-4f75-95dd-d72eb68b8ae0"/>
    <xsd:import namespace="ac0e4510-c184-4a52-b5d6-d1abd0725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2db0-c01a-4f75-95dd-d72eb68b8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e4510-c184-4a52-b5d6-d1abd0725a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9227b2-fa53-4f22-bd9a-8a43eac09f89}" ma:internalName="TaxCatchAll" ma:showField="CatchAllData" ma:web="ac0e4510-c184-4a52-b5d6-d1abd0725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2AA3F-AFA2-46F4-9A97-39F07A9A7AA5}">
  <ds:schemaRefs>
    <ds:schemaRef ds:uri="http://schemas.microsoft.com/office/2006/metadata/properties"/>
    <ds:schemaRef ds:uri="http://schemas.microsoft.com/office/infopath/2007/PartnerControls"/>
    <ds:schemaRef ds:uri="869a9ef2-0003-4947-aae1-3bc8fcd579ec"/>
    <ds:schemaRef ds:uri="94f249c0-8bd6-4889-b4a9-418303d5bfd0"/>
  </ds:schemaRefs>
</ds:datastoreItem>
</file>

<file path=customXml/itemProps2.xml><?xml version="1.0" encoding="utf-8"?>
<ds:datastoreItem xmlns:ds="http://schemas.openxmlformats.org/officeDocument/2006/customXml" ds:itemID="{B62BE473-F245-4B0C-B70A-5B161799474F}"/>
</file>

<file path=customXml/itemProps3.xml><?xml version="1.0" encoding="utf-8"?>
<ds:datastoreItem xmlns:ds="http://schemas.openxmlformats.org/officeDocument/2006/customXml" ds:itemID="{2374CDDB-0BED-4DFF-A8EC-805C5C878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Bury</dc:creator>
  <cp:keywords/>
  <dc:description/>
  <cp:lastModifiedBy>Bernard Gowers</cp:lastModifiedBy>
  <cp:revision>2</cp:revision>
  <cp:lastPrinted>2025-07-31T14:44:00Z</cp:lastPrinted>
  <dcterms:created xsi:type="dcterms:W3CDTF">2025-07-31T14:47:00Z</dcterms:created>
  <dcterms:modified xsi:type="dcterms:W3CDTF">2025-07-31T14:47:00Z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0x010100DFFD567128DE1A4E828EF3682C5B39F3</vt:lpwstr>
  </property>
  <property fmtid="{D5CDD505-2E9C-101B-9397-08002B2CF9AE}" pid="3" name="MediaServiceImageTags">
    <vt:lpwstr/>
  </property>
</Properties>
</file>